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065DD">
      <w:pPr>
        <w:jc w:val="center"/>
        <w:rPr>
          <w:rFonts w:hint="default" w:eastAsiaTheme="minorEastAsia"/>
          <w:b/>
          <w:bCs/>
          <w:sz w:val="42"/>
          <w:szCs w:val="42"/>
          <w:lang w:val="en-US" w:eastAsia="zh-CN"/>
        </w:rPr>
      </w:pPr>
      <w:r>
        <w:rPr>
          <w:rFonts w:hint="eastAsia"/>
          <w:b/>
          <w:bCs/>
          <w:sz w:val="42"/>
          <w:szCs w:val="42"/>
          <w:lang w:val="en-US" w:eastAsia="zh-CN"/>
        </w:rPr>
        <w:t xml:space="preserve">FOCN中国军事模拟学院 </w:t>
      </w:r>
    </w:p>
    <w:p w14:paraId="0E543D5B">
      <w:pPr>
        <w:jc w:val="center"/>
        <w:rPr>
          <w:b/>
          <w:bCs/>
          <w:sz w:val="42"/>
          <w:szCs w:val="42"/>
        </w:rPr>
      </w:pPr>
    </w:p>
    <w:p w14:paraId="50C285AE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75F9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86" w:type="dxa"/>
            <w:vAlign w:val="center"/>
          </w:tcPr>
          <w:p w14:paraId="518F31D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7D77BF7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伊拉克往事序章 </w:t>
            </w:r>
          </w:p>
        </w:tc>
      </w:tr>
      <w:tr w14:paraId="4DD30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7D9388F3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1FF9D0FC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固定配装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4EEA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34A73882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0E2F95D7"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  <w:lang w:val="en-MY"/>
              </w:rPr>
              <w:t>18</w:t>
            </w:r>
            <w:r>
              <w:rPr>
                <w:rFonts w:hint="eastAsia"/>
              </w:rPr>
              <w:t>日（星期</w:t>
            </w:r>
            <w:r>
              <w:rPr>
                <w:rFonts w:hint="default"/>
                <w:lang w:val="en-MY"/>
              </w:rPr>
              <w:t>4</w:t>
            </w:r>
            <w:r>
              <w:rPr>
                <w:rFonts w:hint="eastAsia"/>
              </w:rPr>
              <w:t>）晚</w:t>
            </w:r>
            <w:r>
              <w:rPr>
                <w:rFonts w:hint="default"/>
                <w:lang w:val="en-MY"/>
              </w:rPr>
              <w:t>8</w:t>
            </w:r>
            <w:r>
              <w:rPr>
                <w:rFonts w:hint="eastAsia"/>
              </w:rPr>
              <w:t>：00</w:t>
            </w:r>
          </w:p>
        </w:tc>
        <w:tc>
          <w:tcPr>
            <w:tcW w:w="1917" w:type="dxa"/>
            <w:vAlign w:val="center"/>
          </w:tcPr>
          <w:p w14:paraId="52941EF0">
            <w:pPr>
              <w:jc w:val="center"/>
              <w:rPr>
                <w:rFonts w:hint="eastAsia"/>
              </w:rPr>
            </w:pPr>
            <w:r>
              <w:rPr>
                <w:rFonts w:hint="default"/>
                <w:lang w:val="en-US"/>
              </w:rPr>
              <w:t>TS</w:t>
            </w:r>
            <w:r>
              <w:rPr>
                <w:rFonts w:hint="eastAsia"/>
              </w:rPr>
              <w:t>频道</w:t>
            </w:r>
          </w:p>
        </w:tc>
        <w:tc>
          <w:tcPr>
            <w:tcW w:w="1950" w:type="dxa"/>
            <w:vAlign w:val="center"/>
          </w:tcPr>
          <w:p w14:paraId="1773C21E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2302</w:t>
            </w:r>
          </w:p>
        </w:tc>
      </w:tr>
      <w:tr w14:paraId="4D77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1FBDA431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lang w:eastAsia="zh-CN"/>
              </w:rPr>
              <w:t>服务器</w:t>
            </w:r>
            <w:r>
              <w:rPr>
                <w:rFonts w:hint="eastAsia"/>
              </w:rPr>
              <w:t>地址</w:t>
            </w:r>
          </w:p>
        </w:tc>
        <w:tc>
          <w:tcPr>
            <w:tcW w:w="2869" w:type="dxa"/>
            <w:vAlign w:val="center"/>
          </w:tcPr>
          <w:p w14:paraId="4950A4BF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35CD0F0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16C638A4">
            <w:pPr>
              <w:jc w:val="center"/>
            </w:pPr>
            <w:r>
              <w:t>A</w:t>
            </w:r>
            <w:r>
              <w:rPr>
                <w:rFonts w:hint="eastAsia"/>
              </w:rPr>
              <w:t>sdfcs21</w:t>
            </w:r>
          </w:p>
        </w:tc>
      </w:tr>
      <w:tr w14:paraId="7B4F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0379529A">
            <w:pPr>
              <w:jc w:val="center"/>
            </w:pPr>
          </w:p>
        </w:tc>
        <w:tc>
          <w:tcPr>
            <w:tcW w:w="2869" w:type="dxa"/>
            <w:vAlign w:val="center"/>
          </w:tcPr>
          <w:p w14:paraId="6062A1E7">
            <w:pPr>
              <w:jc w:val="center"/>
            </w:pPr>
          </w:p>
        </w:tc>
        <w:tc>
          <w:tcPr>
            <w:tcW w:w="1917" w:type="dxa"/>
            <w:vAlign w:val="center"/>
          </w:tcPr>
          <w:p w14:paraId="42EA1174">
            <w:pPr>
              <w:jc w:val="center"/>
            </w:pPr>
          </w:p>
        </w:tc>
        <w:tc>
          <w:tcPr>
            <w:tcW w:w="1950" w:type="dxa"/>
            <w:vAlign w:val="center"/>
          </w:tcPr>
          <w:p w14:paraId="28AC769E">
            <w:pPr>
              <w:jc w:val="center"/>
              <w:rPr>
                <w:rFonts w:hint="eastAsia"/>
              </w:rPr>
            </w:pPr>
          </w:p>
        </w:tc>
      </w:tr>
    </w:tbl>
    <w:p w14:paraId="2F08910D">
      <w:pPr>
        <w:jc w:val="left"/>
      </w:pPr>
    </w:p>
    <w:p w14:paraId="76B1657A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0059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E8EFDA6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1EA574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不明 </w:t>
            </w:r>
          </w:p>
        </w:tc>
        <w:tc>
          <w:tcPr>
            <w:tcW w:w="1284" w:type="dxa"/>
            <w:vAlign w:val="center"/>
          </w:tcPr>
          <w:p w14:paraId="4C6EE4D0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554CDA2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sans-serif" w:hAnsi="sans-serif" w:eastAsia="sans-serif" w:cs="sans-serif"/>
                <w:b/>
                <w:bCs/>
                <w:i w:val="0"/>
                <w:iCs w:val="0"/>
                <w:caps w:val="0"/>
                <w:color w:val="0000FF"/>
                <w:spacing w:val="0"/>
                <w:sz w:val="23"/>
                <w:szCs w:val="23"/>
                <w:highlight w:val="none"/>
                <w:shd w:val="clear" w:fill="FFFFFF" w:themeFill="background1"/>
              </w:rPr>
              <w:t>第 75 游骑兵团第 2 营</w:t>
            </w:r>
          </w:p>
        </w:tc>
      </w:tr>
      <w:tr w14:paraId="5F88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11456CA8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2F6614A4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  <w:tc>
          <w:tcPr>
            <w:tcW w:w="1284" w:type="dxa"/>
            <w:vAlign w:val="center"/>
          </w:tcPr>
          <w:p w14:paraId="7A32B4D8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0650A9A6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346B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256F1A50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32512F21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6F89C41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13340ADC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含空军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4E915A6F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39473D39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纯步兵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摩托化</w:t>
            </w:r>
          </w:p>
          <w:p w14:paraId="7D0498EF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含空军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4F96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2C2AEB54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0592BDE6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698BE5DC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6FE29CD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无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基地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3D69C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57193004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7C53DB0C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未来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38075425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0C33E1CB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没有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AKT</w:t>
            </w:r>
            <w:r>
              <w:rPr>
                <w:rFonts w:hint="eastAsia"/>
              </w:rPr>
              <w:t xml:space="preserve">高级  </w:t>
            </w:r>
          </w:p>
        </w:tc>
      </w:tr>
      <w:tr w14:paraId="6FBD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1F078157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任务描述：由于伊拉克政府经济改革措施，市政工人、公职人员、宗教势力对政府不满，示威活动自5月18日开始蔓延。 示威者高呼支持马赫迪军（Mahdi Army）和费卢杰武装（Fallujah Insurgents）的口号，表明示威可能受到萨德尔派及逊尼派叛乱分子的影响，可能演变为暴力冲突。 近期情报显示，巴尔泽克地区有**马赫迪军及基地组织伊拉克分支（AQI）**活动迹象，恐怖分子可能混入示威人群发动袭击。</w:t>
            </w:r>
            <w:r>
              <w:rPr>
                <w:rFonts w:hint="eastAsia"/>
                <w:lang w:eastAsia="zh-CN"/>
              </w:rPr>
              <w:t>我们收到了来自</w:t>
            </w:r>
            <w:r>
              <w:rPr>
                <w:rFonts w:hint="eastAsia"/>
              </w:rPr>
              <w:t>巴尔泽克</w:t>
            </w:r>
            <w:r>
              <w:rPr>
                <w:rFonts w:hint="eastAsia"/>
                <w:lang w:eastAsia="zh-CN"/>
              </w:rPr>
              <w:t>政府警察部队增援要求，增援要求我们增派一个排加强对市政府的防御工作。</w:t>
            </w:r>
          </w:p>
          <w:p w14:paraId="355CC768">
            <w:pPr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  <w:p w14:paraId="7DF9B5B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     </w:t>
            </w:r>
          </w:p>
        </w:tc>
      </w:tr>
    </w:tbl>
    <w:p w14:paraId="57B9AA17">
      <w:pPr>
        <w:jc w:val="left"/>
      </w:pPr>
    </w:p>
    <w:p w14:paraId="08BF20C8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275945C4">
      <w:pPr>
        <w:jc w:val="left"/>
      </w:pPr>
      <w:r>
        <w:rPr>
          <w:rFonts w:hint="eastAsia"/>
        </w:rPr>
        <w:t>2.1任务区域截图</w:t>
      </w:r>
    </w:p>
    <w:p w14:paraId="26D63105">
      <w:pPr>
        <w:jc w:val="left"/>
      </w:pPr>
    </w:p>
    <w:p w14:paraId="02C1C995">
      <w:pPr>
        <w:jc w:val="left"/>
      </w:pPr>
    </w:p>
    <w:p w14:paraId="5D22C018">
      <w:pPr>
        <w:jc w:val="left"/>
      </w:pPr>
    </w:p>
    <w:p w14:paraId="65CA1339">
      <w:pPr>
        <w:jc w:val="left"/>
      </w:pPr>
      <w:r>
        <w:rPr>
          <w:rFonts w:hint="eastAsia"/>
        </w:rPr>
        <w:t>2.2任务目标</w:t>
      </w:r>
    </w:p>
    <w:p w14:paraId="5AB06BB9">
      <w:pPr>
        <w:keepNext w:val="0"/>
        <w:keepLines w:val="0"/>
        <w:widowControl/>
        <w:suppressLineNumbers w:val="0"/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7"/>
        </w:rPr>
        <w:t>确保巴尔泽克市政厅安全，防止暴徒冲击并占领政府大楼。</w:t>
      </w:r>
    </w:p>
    <w:p w14:paraId="4F294F55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7"/>
        </w:rPr>
        <w:t>协助伊拉克安全部队（ISF）维持秩序，防止示威演变为大规模骚乱。</w:t>
      </w:r>
    </w:p>
    <w:p w14:paraId="2B8DFDB4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7"/>
        </w:rPr>
        <w:t>在必要情况下，使用非致命武力驱散暴力示威者。</w:t>
      </w:r>
    </w:p>
    <w:p w14:paraId="6985B379">
      <w:pPr>
        <w:jc w:val="left"/>
      </w:pPr>
    </w:p>
    <w:p w14:paraId="49432975">
      <w:pPr>
        <w:jc w:val="left"/>
      </w:pPr>
    </w:p>
    <w:p w14:paraId="309A5B0D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073A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2CA3CAA1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1DBC5A6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导演直接宣告胜利；</w:t>
            </w:r>
          </w:p>
        </w:tc>
      </w:tr>
      <w:tr w14:paraId="05667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5F735DDE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67E4E876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HQ宣告放弃；</w:t>
            </w:r>
          </w:p>
          <w:p w14:paraId="53B6D666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导演直接宣告失败；</w:t>
            </w:r>
          </w:p>
          <w:p w14:paraId="284BF799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全部队员同时死亡</w:t>
            </w:r>
          </w:p>
        </w:tc>
      </w:tr>
    </w:tbl>
    <w:p w14:paraId="47A3868C">
      <w:pPr>
        <w:jc w:val="left"/>
      </w:pPr>
    </w:p>
    <w:p w14:paraId="676D7582">
      <w:pPr>
        <w:jc w:val="left"/>
      </w:pPr>
    </w:p>
    <w:p w14:paraId="6D41F575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7A5B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3" w:type="dxa"/>
            <w:vMerge w:val="restart"/>
            <w:vAlign w:val="center"/>
          </w:tcPr>
          <w:p w14:paraId="167285AA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427E7D7C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09A0D6C4">
            <w:pPr>
              <w:jc w:val="left"/>
            </w:pPr>
            <w:r>
              <w:rPr>
                <w:rFonts w:hint="eastAsia"/>
              </w:rPr>
              <w:t>不明</w:t>
            </w:r>
          </w:p>
        </w:tc>
      </w:tr>
      <w:tr w14:paraId="63A7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2FBD70BF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19B1825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05FA053B">
            <w:pPr>
              <w:jc w:val="left"/>
            </w:pPr>
            <w:r>
              <w:rPr>
                <w:rFonts w:hint="eastAsia"/>
              </w:rPr>
              <w:t>不明</w:t>
            </w:r>
          </w:p>
        </w:tc>
      </w:tr>
      <w:tr w14:paraId="7A20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2940EB81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A977CEB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0A02108">
            <w:pPr>
              <w:jc w:val="left"/>
            </w:pPr>
            <w:r>
              <w:rPr>
                <w:rFonts w:hint="eastAsia"/>
              </w:rPr>
              <w:t>不明</w:t>
            </w:r>
          </w:p>
        </w:tc>
      </w:tr>
      <w:tr w14:paraId="641D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3A6D72B2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13D5F800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1297C99B">
            <w:pPr>
              <w:jc w:val="left"/>
            </w:pPr>
          </w:p>
        </w:tc>
      </w:tr>
      <w:tr w14:paraId="4243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D620A65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535AFE9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7AA7B26"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辆悍马车 </w:t>
            </w:r>
          </w:p>
        </w:tc>
      </w:tr>
      <w:tr w14:paraId="2EBA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299AAD31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DF2F18A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5C29129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无</w:t>
            </w:r>
            <w:r>
              <w:rPr>
                <w:rFonts w:hint="eastAsia"/>
                <w:lang w:val="en-US" w:eastAsia="zh-CN"/>
              </w:rPr>
              <w:t xml:space="preserve"> (没有特殊情况不派遣 )</w:t>
            </w:r>
          </w:p>
        </w:tc>
      </w:tr>
    </w:tbl>
    <w:p w14:paraId="408B9CE0">
      <w:pPr>
        <w:jc w:val="left"/>
      </w:pPr>
    </w:p>
    <w:p w14:paraId="470E25FA">
      <w:pPr>
        <w:jc w:val="left"/>
      </w:pPr>
      <w:r>
        <w:rPr>
          <w:rFonts w:hint="eastAsia"/>
          <w:sz w:val="34"/>
          <w:szCs w:val="34"/>
        </w:rPr>
        <w:t>五、其他</w:t>
      </w:r>
    </w:p>
    <w:p w14:paraId="04D3B12E">
      <w:pPr>
        <w:jc w:val="left"/>
      </w:pPr>
    </w:p>
    <w:p w14:paraId="4840DE85">
      <w:pPr>
        <w:jc w:val="left"/>
        <w:rPr>
          <w:rFonts w:hint="default" w:eastAsiaTheme="minorEastAsia"/>
          <w:lang w:val="en-US" w:eastAsia="zh-CN"/>
        </w:rPr>
      </w:pPr>
    </w:p>
    <w:p w14:paraId="7BA55F9E">
      <w:pPr>
        <w:jc w:val="left"/>
      </w:pPr>
    </w:p>
    <w:p w14:paraId="12521F4C">
      <w:pPr>
        <w:jc w:val="left"/>
      </w:pPr>
    </w:p>
    <w:p w14:paraId="7387537D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附件一：</w:t>
      </w:r>
    </w:p>
    <w:p w14:paraId="299ADB0C">
      <w:pPr>
        <w:jc w:val="left"/>
        <w:rPr>
          <w:sz w:val="34"/>
          <w:szCs w:val="34"/>
        </w:rPr>
      </w:pPr>
    </w:p>
    <w:p w14:paraId="34D21FEB">
      <w:pPr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宙斯承诺</w:t>
      </w:r>
    </w:p>
    <w:p w14:paraId="7C1F5BED">
      <w:pPr>
        <w:jc w:val="center"/>
        <w:rPr>
          <w:sz w:val="34"/>
          <w:szCs w:val="34"/>
        </w:rPr>
      </w:pPr>
    </w:p>
    <w:p w14:paraId="5A167FF8">
      <w:pPr>
        <w:jc w:val="left"/>
      </w:pPr>
      <w:r>
        <w:rPr>
          <w:rFonts w:hint="eastAsia"/>
        </w:rPr>
        <w:t>致所有参战玩家：</w:t>
      </w:r>
    </w:p>
    <w:p w14:paraId="2C382416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00CD356A">
      <w:pPr>
        <w:ind w:firstLine="420"/>
        <w:jc w:val="left"/>
      </w:pPr>
    </w:p>
    <w:p w14:paraId="5B86D9AE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5F59CE90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2024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7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8 </w:t>
      </w:r>
      <w:r>
        <w:rPr>
          <w:rFonts w:hint="eastAsi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D6A6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343D1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343D1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F210F">
    <w:pPr>
      <w:pStyle w:val="5"/>
      <w:ind w:firstLine="360" w:firstLineChars="200"/>
    </w:pPr>
  </w:p>
  <w:p w14:paraId="0BDF6EEF">
    <w:pPr>
      <w:pStyle w:val="5"/>
      <w:ind w:firstLine="360" w:firstLineChars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7D90EEB"/>
    <w:multiLevelType w:val="singleLevel"/>
    <w:tmpl w:val="D7D90EE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FE"/>
    <w:rsid w:val="00133EF9"/>
    <w:rsid w:val="00144AFE"/>
    <w:rsid w:val="001703B9"/>
    <w:rsid w:val="00420815"/>
    <w:rsid w:val="0062204A"/>
    <w:rsid w:val="006343CA"/>
    <w:rsid w:val="00676E89"/>
    <w:rsid w:val="009C7220"/>
    <w:rsid w:val="00D11355"/>
    <w:rsid w:val="01711EB2"/>
    <w:rsid w:val="020A0F6A"/>
    <w:rsid w:val="02294BA4"/>
    <w:rsid w:val="02BD5FF9"/>
    <w:rsid w:val="0439657A"/>
    <w:rsid w:val="05F25F76"/>
    <w:rsid w:val="082F1F17"/>
    <w:rsid w:val="08854186"/>
    <w:rsid w:val="0A89510A"/>
    <w:rsid w:val="0C59648C"/>
    <w:rsid w:val="0C5E58CD"/>
    <w:rsid w:val="0E2A3F20"/>
    <w:rsid w:val="0E91409F"/>
    <w:rsid w:val="107F44C6"/>
    <w:rsid w:val="13F055AB"/>
    <w:rsid w:val="14CA2924"/>
    <w:rsid w:val="151B5DF9"/>
    <w:rsid w:val="15A6390C"/>
    <w:rsid w:val="19B10490"/>
    <w:rsid w:val="1A661D3E"/>
    <w:rsid w:val="1BC41330"/>
    <w:rsid w:val="1C815C23"/>
    <w:rsid w:val="1C8E46CE"/>
    <w:rsid w:val="1CE409AC"/>
    <w:rsid w:val="1FD61522"/>
    <w:rsid w:val="1FEB5E9B"/>
    <w:rsid w:val="22C75707"/>
    <w:rsid w:val="247A4C2B"/>
    <w:rsid w:val="2831357A"/>
    <w:rsid w:val="2B410254"/>
    <w:rsid w:val="2D9F5630"/>
    <w:rsid w:val="31714E6D"/>
    <w:rsid w:val="31C76719"/>
    <w:rsid w:val="31CF5BE6"/>
    <w:rsid w:val="32360353"/>
    <w:rsid w:val="33401C89"/>
    <w:rsid w:val="36DE5D21"/>
    <w:rsid w:val="371B7D78"/>
    <w:rsid w:val="39171749"/>
    <w:rsid w:val="3D643720"/>
    <w:rsid w:val="3D6B3A1E"/>
    <w:rsid w:val="3DAE6710"/>
    <w:rsid w:val="3E2B09B5"/>
    <w:rsid w:val="400A0786"/>
    <w:rsid w:val="408B6D2E"/>
    <w:rsid w:val="42C36E09"/>
    <w:rsid w:val="443605BD"/>
    <w:rsid w:val="45443EE9"/>
    <w:rsid w:val="45B52019"/>
    <w:rsid w:val="46C172E2"/>
    <w:rsid w:val="47067D16"/>
    <w:rsid w:val="4C7D40A2"/>
    <w:rsid w:val="4CAC6F9D"/>
    <w:rsid w:val="4D874B73"/>
    <w:rsid w:val="4DC20D42"/>
    <w:rsid w:val="4DFE3225"/>
    <w:rsid w:val="51D74362"/>
    <w:rsid w:val="54176D38"/>
    <w:rsid w:val="555139EA"/>
    <w:rsid w:val="565B0827"/>
    <w:rsid w:val="578A2D71"/>
    <w:rsid w:val="5AAC15CA"/>
    <w:rsid w:val="5BE46061"/>
    <w:rsid w:val="5C4D7D2D"/>
    <w:rsid w:val="5CF22B5F"/>
    <w:rsid w:val="5E417CA9"/>
    <w:rsid w:val="5E74760B"/>
    <w:rsid w:val="5E9552D9"/>
    <w:rsid w:val="60D606CD"/>
    <w:rsid w:val="64A62DD1"/>
    <w:rsid w:val="64B6111E"/>
    <w:rsid w:val="64DE4FD6"/>
    <w:rsid w:val="666A30F6"/>
    <w:rsid w:val="671A5E8C"/>
    <w:rsid w:val="69AF2151"/>
    <w:rsid w:val="6A4316EE"/>
    <w:rsid w:val="6AD61EA3"/>
    <w:rsid w:val="6B084644"/>
    <w:rsid w:val="6D2179A0"/>
    <w:rsid w:val="70AC09BA"/>
    <w:rsid w:val="715A0DA3"/>
    <w:rsid w:val="72307815"/>
    <w:rsid w:val="72DC18FD"/>
    <w:rsid w:val="76534F65"/>
    <w:rsid w:val="76EC7122"/>
    <w:rsid w:val="775069B8"/>
    <w:rsid w:val="782D48FF"/>
    <w:rsid w:val="787943E6"/>
    <w:rsid w:val="7BCE36CA"/>
    <w:rsid w:val="7BF075CC"/>
    <w:rsid w:val="7CF711CE"/>
    <w:rsid w:val="7DB7231D"/>
    <w:rsid w:val="7E872A6C"/>
    <w:rsid w:val="7F09151C"/>
    <w:rsid w:val="7F66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2"/>
    <w:unhideWhenUsed/>
    <w:qFormat/>
    <w:uiPriority w:val="99"/>
    <w:rPr>
      <w:color w:val="0000FF"/>
      <w:u w:val="single"/>
    </w:rPr>
  </w:style>
  <w:style w:type="character" w:styleId="7">
    <w:name w:val="Strong"/>
    <w:basedOn w:val="2"/>
    <w:qFormat/>
    <w:uiPriority w:val="0"/>
    <w:rPr>
      <w:b/>
      <w:bCs/>
    </w:r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833</Characters>
  <Lines>6</Lines>
  <Paragraphs>1</Paragraphs>
  <TotalTime>12</TotalTime>
  <ScaleCrop>false</ScaleCrop>
  <LinksUpToDate>false</LinksUpToDate>
  <CharactersWithSpaces>977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2022-04-08T02:41:00Z</dcterms:created>
  <dc:creator>FunkyBass</dc:creator>
  <cp:lastModifiedBy>WPS_1720435509</cp:lastModifiedBy>
  <dcterms:modified xsi:type="dcterms:W3CDTF">2025-02-12T11:15:57Z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D1B9ECD036ED4F8A927F80B1C1E8B724</vt:lpwstr>
  </property>
</Properties>
</file>